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0B35E7">
              <w:rPr>
                <w:rFonts w:ascii="Times New Roman" w:hAnsi="Times New Roman"/>
                <w:b/>
                <w:i/>
                <w:sz w:val="28"/>
                <w:lang w:val="sl-SI"/>
              </w:rPr>
              <w:t>21-000146/0</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0B35E7">
        <w:rPr>
          <w:rFonts w:ascii="Times New Roman" w:hAnsi="Times New Roman"/>
          <w:i/>
          <w:sz w:val="20"/>
          <w:lang w:val="sl-SI"/>
        </w:rPr>
        <w:t>43002-23/2021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0B35E7">
            <w:pPr>
              <w:spacing w:before="120"/>
              <w:jc w:val="center"/>
              <w:rPr>
                <w:rFonts w:ascii="Times New Roman" w:hAnsi="Times New Roman"/>
                <w:b/>
                <w:i/>
                <w:sz w:val="20"/>
                <w:lang w:val="sl-SI"/>
              </w:rPr>
            </w:pPr>
            <w:r>
              <w:rPr>
                <w:rFonts w:ascii="Times New Roman" w:hAnsi="Times New Roman"/>
                <w:b/>
                <w:i/>
                <w:sz w:val="20"/>
                <w:lang w:val="sl-SI"/>
              </w:rPr>
              <w:t>Preplastitev ceste R1-228, odsek 1291 Spuhlja - Zavrč, od km 1,600 do km 2,200 in od km 11,000 do km 13,000</w:t>
            </w:r>
          </w:p>
        </w:tc>
      </w:tr>
    </w:tbl>
    <w:p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0B35E7">
        <w:rPr>
          <w:rFonts w:ascii="Times New Roman" w:hAnsi="Times New Roman"/>
          <w:sz w:val="20"/>
        </w:rPr>
        <w:t xml:space="preserve">popisa del, </w:t>
      </w:r>
      <w:r w:rsidRPr="00F95E6F">
        <w:rPr>
          <w:rFonts w:ascii="Times New Roman" w:hAnsi="Times New Roman"/>
          <w:sz w:val="20"/>
        </w:rPr>
        <w:t xml:space="preserve">ki ga je izdelal </w:t>
      </w:r>
      <w:r w:rsidR="000B35E7">
        <w:rPr>
          <w:rFonts w:ascii="Times New Roman" w:hAnsi="Times New Roman"/>
          <w:sz w:val="20"/>
        </w:rPr>
        <w:t xml:space="preserve">DRI upravljanje investicij </w:t>
      </w:r>
      <w:proofErr w:type="spellStart"/>
      <w:r w:rsidR="000B35E7">
        <w:rPr>
          <w:rFonts w:ascii="Times New Roman" w:hAnsi="Times New Roman"/>
          <w:sz w:val="20"/>
        </w:rPr>
        <w:t>d.o.o</w:t>
      </w:r>
      <w:proofErr w:type="spellEnd"/>
      <w:r w:rsidR="000B35E7">
        <w:rPr>
          <w:rFonts w:ascii="Times New Roman" w:hAnsi="Times New Roman"/>
          <w:sz w:val="20"/>
        </w:rPr>
        <w:t xml:space="preserve">. </w:t>
      </w:r>
      <w:r w:rsidR="007970B0" w:rsidRPr="007970B0">
        <w:rPr>
          <w:rFonts w:ascii="Times New Roman" w:hAnsi="Times New Roman"/>
          <w:sz w:val="20"/>
        </w:rPr>
        <w:t>marec</w:t>
      </w:r>
      <w:r w:rsidR="000B35E7" w:rsidRPr="007970B0">
        <w:rPr>
          <w:rFonts w:ascii="Times New Roman" w:hAnsi="Times New Roman"/>
          <w:sz w:val="20"/>
        </w:rPr>
        <w:t xml:space="preserve"> 2021.</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Telobesedila"/>
        <w:rPr>
          <w:rFonts w:ascii="Times New Roman" w:hAnsi="Times New Roman"/>
        </w:rPr>
      </w:pPr>
      <w:r w:rsidRPr="00F95E6F">
        <w:rPr>
          <w:rFonts w:ascii="Times New Roman" w:hAnsi="Times New Roman"/>
        </w:rPr>
        <w:t>Izvajalec se obvezuje pričeti z izvajanjem s to pogodbo prevzetih d</w:t>
      </w:r>
      <w:r w:rsidR="000B35E7">
        <w:rPr>
          <w:rFonts w:ascii="Times New Roman" w:hAnsi="Times New Roman"/>
        </w:rPr>
        <w:t xml:space="preserve">el najkasneje v roku </w:t>
      </w:r>
      <w:r w:rsidR="00104C49">
        <w:rPr>
          <w:rFonts w:ascii="Times New Roman" w:hAnsi="Times New Roman"/>
        </w:rPr>
        <w:t>pet</w:t>
      </w:r>
      <w:r w:rsidR="000B35E7">
        <w:rPr>
          <w:rFonts w:ascii="Times New Roman" w:hAnsi="Times New Roman"/>
        </w:rPr>
        <w:t xml:space="preserve"> (5</w:t>
      </w:r>
      <w:r w:rsidRPr="00F95E6F">
        <w:rPr>
          <w:rFonts w:ascii="Times New Roman" w:hAnsi="Times New Roman"/>
        </w:rPr>
        <w:t xml:space="preserve">) dni po </w:t>
      </w:r>
      <w:r w:rsidR="000B35E7">
        <w:rPr>
          <w:rFonts w:ascii="Times New Roman" w:hAnsi="Times New Roman"/>
        </w:rPr>
        <w:t>uvedbi v delo</w:t>
      </w:r>
      <w:r w:rsidRPr="00F95E6F">
        <w:rPr>
          <w:rFonts w:ascii="Times New Roman" w:hAnsi="Times New Roman"/>
        </w:rPr>
        <w:t>. Dela</w:t>
      </w:r>
      <w:r w:rsidR="000B35E7">
        <w:rPr>
          <w:rFonts w:ascii="Times New Roman" w:hAnsi="Times New Roman"/>
        </w:rPr>
        <w:t xml:space="preserve"> na gradbišču</w:t>
      </w:r>
      <w:r w:rsidRPr="00F95E6F">
        <w:rPr>
          <w:rFonts w:ascii="Times New Roman" w:hAnsi="Times New Roman"/>
        </w:rPr>
        <w:t xml:space="preserve"> se obvezuje dokončati v skladu s terminskim planom izvajanja del, v </w:t>
      </w:r>
      <w:r w:rsidRPr="007970B0">
        <w:rPr>
          <w:rFonts w:ascii="Times New Roman" w:hAnsi="Times New Roman"/>
        </w:rPr>
        <w:t xml:space="preserve">roku </w:t>
      </w:r>
      <w:r w:rsidR="000B35E7" w:rsidRPr="007970B0">
        <w:rPr>
          <w:rFonts w:ascii="Times New Roman" w:hAnsi="Times New Roman"/>
        </w:rPr>
        <w:t>devetdeset (90)</w:t>
      </w:r>
      <w:r w:rsidRPr="007970B0">
        <w:rPr>
          <w:rFonts w:ascii="Times New Roman" w:hAnsi="Times New Roman"/>
        </w:rPr>
        <w:t xml:space="preserve"> dni po </w:t>
      </w:r>
      <w:r w:rsidR="000B35E7" w:rsidRPr="007970B0">
        <w:rPr>
          <w:rFonts w:ascii="Times New Roman" w:hAnsi="Times New Roman"/>
        </w:rPr>
        <w:t>uvedbi v delo. Kot dokončanje del na gradbišču se šteje vpis</w:t>
      </w:r>
      <w:r w:rsidR="00104C49" w:rsidRPr="007970B0">
        <w:rPr>
          <w:rFonts w:ascii="Times New Roman" w:hAnsi="Times New Roman"/>
        </w:rPr>
        <w:t xml:space="preserve"> vodje nadzora v gradbeni dnevnik, da so vsa dela na gradbišču opravljena. Ostale pogodbene obveznosti se obvezuje izpolniti najkasneje v roku petnajst (15) dni po dokončanju del na gradbišču. Rok za </w:t>
      </w:r>
      <w:r w:rsidR="00714565" w:rsidRPr="007970B0">
        <w:rPr>
          <w:rFonts w:ascii="Times New Roman" w:hAnsi="Times New Roman"/>
        </w:rPr>
        <w:t>izvršitev vseh obveznosti izvajalca po tej pogodbi</w:t>
      </w:r>
      <w:r w:rsidR="00104C49" w:rsidRPr="007970B0">
        <w:rPr>
          <w:rFonts w:ascii="Times New Roman" w:hAnsi="Times New Roman"/>
        </w:rPr>
        <w:t xml:space="preserve"> je </w:t>
      </w:r>
      <w:proofErr w:type="spellStart"/>
      <w:r w:rsidR="00104C49" w:rsidRPr="007970B0">
        <w:rPr>
          <w:rFonts w:ascii="Times New Roman" w:hAnsi="Times New Roman"/>
        </w:rPr>
        <w:t>stopet</w:t>
      </w:r>
      <w:proofErr w:type="spellEnd"/>
      <w:r w:rsidR="00104C49" w:rsidRPr="007970B0">
        <w:rPr>
          <w:rFonts w:ascii="Times New Roman" w:hAnsi="Times New Roman"/>
        </w:rPr>
        <w:t xml:space="preserve"> (105) dni</w:t>
      </w:r>
      <w:r w:rsidR="00104C49">
        <w:rPr>
          <w:rFonts w:ascii="Times New Roman" w:hAnsi="Times New Roman"/>
        </w:rPr>
        <w:t xml:space="preserve"> od uvedbe v delo. </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lastRenderedPageBreak/>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104C49">
      <w:pPr>
        <w:numPr>
          <w:ilvl w:val="0"/>
          <w:numId w:val="1"/>
        </w:numPr>
        <w:jc w:val="both"/>
        <w:rPr>
          <w:rFonts w:ascii="Times New Roman" w:hAnsi="Times New Roman"/>
          <w:sz w:val="20"/>
          <w:lang w:val="sl-SI"/>
        </w:rPr>
      </w:pPr>
      <w:r>
        <w:rPr>
          <w:rFonts w:ascii="Times New Roman" w:hAnsi="Times New Roman"/>
          <w:sz w:val="20"/>
          <w:lang w:val="sl-SI"/>
        </w:rPr>
        <w:t>Potrjen popis del</w:t>
      </w:r>
    </w:p>
    <w:p w:rsidR="00811A30" w:rsidRPr="00F95E6F" w:rsidRDefault="00811A30">
      <w:pPr>
        <w:jc w:val="both"/>
        <w:rPr>
          <w:rFonts w:ascii="Times New Roman" w:hAnsi="Times New Roman"/>
          <w:sz w:val="20"/>
          <w:lang w:val="sl-SI"/>
        </w:rPr>
      </w:pPr>
    </w:p>
    <w:p w:rsidR="00811A30" w:rsidRPr="00F95E6F" w:rsidRDefault="007970B0">
      <w:pPr>
        <w:jc w:val="both"/>
        <w:rPr>
          <w:rFonts w:ascii="Times New Roman" w:hAnsi="Times New Roman"/>
          <w:sz w:val="20"/>
          <w:lang w:val="sl-SI"/>
        </w:rPr>
      </w:pPr>
      <w:r>
        <w:rPr>
          <w:rFonts w:ascii="Times New Roman" w:hAnsi="Times New Roman"/>
          <w:sz w:val="20"/>
          <w:lang w:val="sl-SI"/>
        </w:rPr>
        <w:t>Dela se izvajajo kot</w:t>
      </w:r>
      <w:r w:rsidR="00104C49">
        <w:rPr>
          <w:rFonts w:ascii="Times New Roman" w:hAnsi="Times New Roman"/>
          <w:sz w:val="20"/>
          <w:lang w:val="sl-SI"/>
        </w:rPr>
        <w:t xml:space="preserve"> </w:t>
      </w:r>
      <w:r w:rsidR="00811A30" w:rsidRPr="00F95E6F">
        <w:rPr>
          <w:rFonts w:ascii="Times New Roman" w:hAnsi="Times New Roman"/>
          <w:sz w:val="20"/>
          <w:lang w:val="sl-SI"/>
        </w:rPr>
        <w:t>vzdrževalna dela v javno korist</w:t>
      </w:r>
      <w:r w:rsidR="00104C49">
        <w:rPr>
          <w:rFonts w:ascii="Times New Roman" w:hAnsi="Times New Roman"/>
          <w:sz w:val="20"/>
          <w:lang w:val="sl-SI"/>
        </w:rPr>
        <w: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w:t>
      </w:r>
      <w:r w:rsidR="007970B0">
        <w:rPr>
          <w:rFonts w:ascii="Times New Roman" w:hAnsi="Times New Roman"/>
          <w:sz w:val="20"/>
          <w:lang w:val="sl-SI"/>
        </w:rPr>
        <w:t>i</w:t>
      </w:r>
      <w:r w:rsidR="00BC2EDF">
        <w:rPr>
          <w:rFonts w:ascii="Times New Roman" w:hAnsi="Times New Roman"/>
          <w:sz w:val="20"/>
          <w:lang w:val="sl-SI"/>
        </w:rPr>
        <w:t xml:space="preserve"> </w:t>
      </w:r>
      <w:r w:rsidRPr="00F95E6F">
        <w:rPr>
          <w:rFonts w:ascii="Times New Roman" w:hAnsi="Times New Roman"/>
          <w:sz w:val="20"/>
          <w:lang w:val="sl-SI"/>
        </w:rPr>
        <w:t>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w:t>
      </w:r>
      <w:r w:rsidR="0050752E">
        <w:rPr>
          <w:rFonts w:ascii="Times New Roman" w:hAnsi="Times New Roman"/>
          <w:sz w:val="20"/>
          <w:lang w:val="sl-SI"/>
        </w:rPr>
        <w:t xml:space="preserve">) predloži tehnološki </w:t>
      </w:r>
      <w:r w:rsidRPr="00F95E6F">
        <w:rPr>
          <w:rFonts w:ascii="Times New Roman" w:hAnsi="Times New Roman"/>
          <w:sz w:val="20"/>
          <w:lang w:val="sl-SI"/>
        </w:rPr>
        <w:t>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50752E">
        <w:rPr>
          <w:rFonts w:ascii="Times New Roman" w:hAnsi="Times New Roman"/>
          <w:sz w:val="20"/>
          <w:lang w:val="sl-SI"/>
        </w:rPr>
        <w:t>. Če se v času trajanja izvedbe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w:t>
      </w:r>
      <w:r w:rsidR="0050752E">
        <w:rPr>
          <w:rFonts w:ascii="Times New Roman" w:hAnsi="Times New Roman"/>
          <w:sz w:val="20"/>
          <w:lang w:val="sl-SI"/>
        </w:rPr>
        <w:t>i in funkcija odgovornih oseb</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50752E">
        <w:rPr>
          <w:rFonts w:ascii="Times New Roman" w:hAnsi="Times New Roman"/>
          <w:sz w:val="20"/>
          <w:lang w:val="sl-SI"/>
        </w:rPr>
        <w:t>prisotnost vodje grad</w:t>
      </w:r>
      <w:r w:rsidR="003446D8" w:rsidRPr="0050752E">
        <w:rPr>
          <w:rFonts w:ascii="Times New Roman" w:hAnsi="Times New Roman"/>
          <w:sz w:val="20"/>
          <w:lang w:val="sl-SI"/>
        </w:rPr>
        <w:t>nje</w:t>
      </w:r>
      <w:r w:rsidRPr="0050752E">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BA1A87" w:rsidRPr="00BA1A87"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t>z gradbenimi odpadki na gradbišču ravna v skladu s predpisi ter prevzema vso odgovornost za morebitne</w:t>
      </w:r>
    </w:p>
    <w:p w:rsidR="00BA1A87" w:rsidRPr="00BA1A87" w:rsidRDefault="00BA1A87" w:rsidP="007970B0">
      <w:pPr>
        <w:ind w:left="283"/>
        <w:jc w:val="both"/>
        <w:rPr>
          <w:rFonts w:ascii="Times New Roman" w:hAnsi="Times New Roman"/>
          <w:sz w:val="20"/>
          <w:lang w:val="sl-SI"/>
        </w:rPr>
      </w:pPr>
      <w:r w:rsidRPr="00BA1A87">
        <w:rPr>
          <w:rFonts w:ascii="Times New Roman" w:hAnsi="Times New Roman"/>
          <w:sz w:val="20"/>
          <w:lang w:val="sl-SI"/>
        </w:rPr>
        <w:t>posledice zaradi neupoštevanja teh predpisov;</w:t>
      </w:r>
    </w:p>
    <w:p w:rsidR="00BA1A87" w:rsidRPr="00BA1A87"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t>po pooblastilu naročnika gradbene odpadke odda zbiralcu ali obdelovalcu gradbenih odpadkov ter ob oddaji</w:t>
      </w:r>
    </w:p>
    <w:p w:rsidR="00BA1A87" w:rsidRPr="00BA1A87" w:rsidRDefault="00BA1A87" w:rsidP="004F29CC">
      <w:pPr>
        <w:ind w:left="283"/>
        <w:jc w:val="both"/>
        <w:rPr>
          <w:rFonts w:ascii="Times New Roman" w:hAnsi="Times New Roman"/>
          <w:sz w:val="20"/>
          <w:lang w:val="sl-SI"/>
        </w:rPr>
      </w:pPr>
      <w:r w:rsidRPr="00BA1A87">
        <w:rPr>
          <w:rFonts w:ascii="Times New Roman" w:hAnsi="Times New Roman"/>
          <w:sz w:val="20"/>
          <w:lang w:val="sl-SI"/>
        </w:rPr>
        <w:t>vsake pošiljke odpadkov izpolni evidenčni list;</w:t>
      </w:r>
    </w:p>
    <w:p w:rsidR="00BA1A87" w:rsidRPr="00BA1A87"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t>izroči naročniku končno poročilo o ravnanju z gradbenimi odpadki s priloženimi evidenčnimi listi</w:t>
      </w:r>
    </w:p>
    <w:p w:rsidR="00BA1A87" w:rsidRPr="00BA1A87"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lastRenderedPageBreak/>
        <w:t>prevoz gozdno lesnih sortimentov opravi v skladu s predpisi in zagotovi izpolnjeno »Knjigovodsko listino«</w:t>
      </w:r>
    </w:p>
    <w:p w:rsidR="00BA1A87" w:rsidRPr="00BA1A87"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t>izdela elaborat za preprečevanje in zmanjševanje emisije delcev z gradbišča skladno z Uredbo o</w:t>
      </w:r>
    </w:p>
    <w:p w:rsidR="0050752E" w:rsidRPr="00F95E6F" w:rsidRDefault="00BA1A87" w:rsidP="00BA1A87">
      <w:pPr>
        <w:numPr>
          <w:ilvl w:val="0"/>
          <w:numId w:val="1"/>
        </w:numPr>
        <w:jc w:val="both"/>
        <w:rPr>
          <w:rFonts w:ascii="Times New Roman" w:hAnsi="Times New Roman"/>
          <w:sz w:val="20"/>
          <w:lang w:val="sl-SI"/>
        </w:rPr>
      </w:pPr>
      <w:r w:rsidRPr="00BA1A87">
        <w:rPr>
          <w:rFonts w:ascii="Times New Roman" w:hAnsi="Times New Roman"/>
          <w:sz w:val="20"/>
          <w:lang w:val="sl-SI"/>
        </w:rPr>
        <w:t>preprečevanju in zmanjševanju emisije delcev iz gradbišč (Uradni list RS, št. 21/11);</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4F29CC" w:rsidRDefault="00435EC3" w:rsidP="00BA1A87">
      <w:pPr>
        <w:numPr>
          <w:ilvl w:val="0"/>
          <w:numId w:val="1"/>
        </w:numPr>
        <w:jc w:val="both"/>
        <w:rPr>
          <w:rFonts w:ascii="Times New Roman" w:hAnsi="Times New Roman"/>
          <w:sz w:val="20"/>
          <w:lang w:val="sl-SI"/>
        </w:rPr>
      </w:pPr>
      <w:r w:rsidRPr="004F29CC">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4E57FD" w:rsidRPr="00F95E6F" w:rsidRDefault="00AD785D" w:rsidP="004F29CC">
      <w:pPr>
        <w:ind w:left="283"/>
        <w:jc w:val="both"/>
        <w:rPr>
          <w:rFonts w:ascii="Times New Roman" w:hAnsi="Times New Roman"/>
          <w:sz w:val="20"/>
          <w:lang w:val="sl-SI"/>
        </w:rPr>
      </w:pPr>
      <w:hyperlink r:id="rId7" w:history="1">
        <w:r w:rsidR="00BA1A87" w:rsidRPr="00D8513A">
          <w:rPr>
            <w:rStyle w:val="Hiperpovezava"/>
            <w:rFonts w:ascii="Times New Roman" w:hAnsi="Times New Roman"/>
            <w:sz w:val="20"/>
            <w:lang w:val="sl-SI"/>
          </w:rPr>
          <w:t>www.gov.si/zbirke/storitve/predaja-izvedenih-del-podatki-za-banko-cestnihpodatkov-bcp/</w:t>
        </w:r>
      </w:hyperlink>
      <w:r w:rsidR="004F29CC">
        <w:rPr>
          <w:rFonts w:ascii="Times New Roman" w:hAnsi="Times New Roman"/>
          <w:sz w:val="20"/>
          <w:lang w:val="sl-SI"/>
        </w:rPr>
        <w:t xml:space="preserve"> </w:t>
      </w:r>
      <w:r w:rsidR="00435EC3"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rsidP="00BA1A87">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Default="00811A30" w:rsidP="00BA1A87">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BA1A87" w:rsidRDefault="00BA1A87" w:rsidP="004F29CC">
      <w:pPr>
        <w:pStyle w:val="Odstavekseznama"/>
        <w:numPr>
          <w:ilvl w:val="0"/>
          <w:numId w:val="10"/>
        </w:numPr>
        <w:jc w:val="both"/>
        <w:rPr>
          <w:rFonts w:ascii="Times New Roman" w:hAnsi="Times New Roman"/>
          <w:sz w:val="20"/>
          <w:lang w:val="sl-SI"/>
        </w:rPr>
      </w:pPr>
      <w:r w:rsidRPr="00BA1A87">
        <w:rPr>
          <w:rFonts w:ascii="Times New Roman" w:hAnsi="Times New Roman"/>
          <w:sz w:val="20"/>
          <w:lang w:val="sl-SI"/>
        </w:rPr>
        <w:t>tabelo o izvedenih kazalnikih, ki je dostopna na spletni strani DRSI</w:t>
      </w:r>
      <w:r w:rsidR="004F29CC">
        <w:rPr>
          <w:rFonts w:ascii="Times New Roman" w:hAnsi="Times New Roman"/>
          <w:sz w:val="20"/>
          <w:lang w:val="sl-SI"/>
        </w:rPr>
        <w:t xml:space="preserve"> </w:t>
      </w:r>
      <w:hyperlink r:id="rId8" w:history="1">
        <w:r w:rsidR="004F29CC" w:rsidRPr="00C55E5E">
          <w:rPr>
            <w:rStyle w:val="Hiperpovezava"/>
            <w:rFonts w:ascii="Times New Roman" w:hAnsi="Times New Roman"/>
            <w:sz w:val="20"/>
            <w:lang w:val="sl-SI"/>
          </w:rPr>
          <w:t>https://www.gov.si/zbirke/storitve/projektna-dokumentacija-in-projektiranje</w:t>
        </w:r>
      </w:hyperlink>
    </w:p>
    <w:p w:rsidR="004F29CC" w:rsidRPr="004F29CC" w:rsidRDefault="004F29CC" w:rsidP="004F29CC">
      <w:pPr>
        <w:pStyle w:val="Odstavekseznama"/>
        <w:ind w:left="700"/>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Default="007B2CEB" w:rsidP="007B2CEB">
      <w:pPr>
        <w:jc w:val="both"/>
        <w:rPr>
          <w:rFonts w:ascii="Times New Roman" w:hAnsi="Times New Roman"/>
          <w:sz w:val="20"/>
          <w:lang w:val="sl-SI"/>
        </w:rPr>
      </w:pPr>
    </w:p>
    <w:p w:rsidR="00237405" w:rsidRPr="00F95E6F" w:rsidRDefault="00237405" w:rsidP="00237405">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237405" w:rsidRPr="00F95E6F" w:rsidRDefault="00237405"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w:t>
      </w:r>
      <w:r w:rsidR="00237405">
        <w:rPr>
          <w:rFonts w:ascii="Times New Roman" w:hAnsi="Times New Roman"/>
          <w:sz w:val="20"/>
          <w:lang w:val="sl-SI"/>
        </w:rPr>
        <w:t xml:space="preserve"> </w:t>
      </w:r>
      <w:bookmarkStart w:id="0" w:name="_GoBack"/>
      <w:bookmarkEnd w:id="0"/>
      <w:r w:rsidRPr="00F95E6F">
        <w:rPr>
          <w:rFonts w:ascii="Times New Roman" w:hAnsi="Times New Roman"/>
          <w:sz w:val="20"/>
          <w:lang w:val="sl-SI"/>
        </w:rPr>
        <w:t xml:space="preserve">Naročnik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plačilo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Izvajalec pred izpolnitvijo vseh pogodbenih obveznosti ne more obračunati več kot 9</w:t>
      </w:r>
      <w:r w:rsidR="00D03292">
        <w:rPr>
          <w:rFonts w:ascii="Times New Roman" w:hAnsi="Times New Roman"/>
          <w:sz w:val="20"/>
          <w:lang w:val="sl-SI"/>
        </w:rPr>
        <w:t>0</w:t>
      </w:r>
      <w:r w:rsidRPr="00F95E6F">
        <w:rPr>
          <w:rFonts w:ascii="Times New Roman" w:hAnsi="Times New Roman"/>
          <w:sz w:val="20"/>
          <w:lang w:val="sl-SI"/>
        </w:rPr>
        <w:t xml:space="preserve"> % pogodbene vrednosti</w:t>
      </w:r>
      <w:r w:rsidR="00D03292">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4A5E5A" w:rsidRPr="00F95E6F" w:rsidRDefault="004A5E5A">
      <w:pPr>
        <w:pStyle w:val="Noga"/>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D03292" w:rsidRPr="00D03292" w:rsidRDefault="00D03292" w:rsidP="00D03292">
      <w:pPr>
        <w:numPr>
          <w:ilvl w:val="12"/>
          <w:numId w:val="0"/>
        </w:numPr>
        <w:jc w:val="both"/>
        <w:rPr>
          <w:rFonts w:ascii="Times New Roman" w:hAnsi="Times New Roman"/>
          <w:sz w:val="20"/>
          <w:lang w:val="sl-SI"/>
        </w:rPr>
      </w:pPr>
      <w:r w:rsidRPr="00D03292">
        <w:rPr>
          <w:rFonts w:ascii="Times New Roman" w:hAnsi="Times New Roman"/>
          <w:sz w:val="20"/>
          <w:lang w:val="sl-SI"/>
        </w:rPr>
        <w:t xml:space="preserve">Če izvajalec po svoji krivdi prekorači pogodbeni rok, </w:t>
      </w:r>
      <w:proofErr w:type="spellStart"/>
      <w:r w:rsidRPr="00D03292">
        <w:rPr>
          <w:rFonts w:ascii="Times New Roman" w:hAnsi="Times New Roman"/>
          <w:sz w:val="20"/>
          <w:lang w:val="sl-SI"/>
        </w:rPr>
        <w:t>t.j</w:t>
      </w:r>
      <w:proofErr w:type="spellEnd"/>
      <w:r w:rsidRPr="00D03292">
        <w:rPr>
          <w:rFonts w:ascii="Times New Roman" w:hAnsi="Times New Roman"/>
          <w:sz w:val="20"/>
          <w:lang w:val="sl-SI"/>
        </w:rPr>
        <w:t>. rok za izvedbo gradbenih del in/ali rok za izvedbo</w:t>
      </w:r>
      <w:r>
        <w:rPr>
          <w:rFonts w:ascii="Times New Roman" w:hAnsi="Times New Roman"/>
          <w:sz w:val="20"/>
          <w:lang w:val="sl-SI"/>
        </w:rPr>
        <w:t xml:space="preserve"> </w:t>
      </w:r>
      <w:r w:rsidRPr="00D03292">
        <w:rPr>
          <w:rFonts w:ascii="Times New Roman" w:hAnsi="Times New Roman"/>
          <w:sz w:val="20"/>
          <w:lang w:val="sl-SI"/>
        </w:rPr>
        <w:t>ostalih pogodbenih obveznosti, je dolžan plačati</w:t>
      </w:r>
      <w:r>
        <w:rPr>
          <w:rFonts w:ascii="Times New Roman" w:hAnsi="Times New Roman"/>
          <w:sz w:val="20"/>
          <w:lang w:val="sl-SI"/>
        </w:rPr>
        <w:t xml:space="preserve"> </w:t>
      </w:r>
      <w:r w:rsidRPr="00D03292">
        <w:rPr>
          <w:rFonts w:ascii="Times New Roman" w:hAnsi="Times New Roman"/>
          <w:sz w:val="20"/>
          <w:lang w:val="sl-SI"/>
        </w:rPr>
        <w:t>pogodbeno kazen v višini 2‰ (dva promila) od pogodbene vrednosti z D</w:t>
      </w:r>
      <w:r>
        <w:rPr>
          <w:rFonts w:ascii="Times New Roman" w:hAnsi="Times New Roman"/>
          <w:sz w:val="20"/>
          <w:lang w:val="sl-SI"/>
        </w:rPr>
        <w:t xml:space="preserve">DV kot je določeno v 2. členu te </w:t>
      </w:r>
      <w:r w:rsidRPr="00D03292">
        <w:rPr>
          <w:rFonts w:ascii="Times New Roman" w:hAnsi="Times New Roman"/>
          <w:sz w:val="20"/>
          <w:lang w:val="sl-SI"/>
        </w:rPr>
        <w:t>pogodbe za vsak zamujeni koledarski dan. Pogodbena kazen bo obračunana ob končni situaciji. Skupni znesek</w:t>
      </w:r>
      <w:r>
        <w:rPr>
          <w:rFonts w:ascii="Times New Roman" w:hAnsi="Times New Roman"/>
          <w:sz w:val="20"/>
          <w:lang w:val="sl-SI"/>
        </w:rPr>
        <w:t xml:space="preserve"> </w:t>
      </w:r>
      <w:r w:rsidRPr="00D03292">
        <w:rPr>
          <w:rFonts w:ascii="Times New Roman" w:hAnsi="Times New Roman"/>
          <w:sz w:val="20"/>
          <w:lang w:val="sl-SI"/>
        </w:rPr>
        <w:t>pogodbene kazni ne more presegati 10% (deset odstotkov) pogodbene vrednosti z DDV kot je določeno v 2.</w:t>
      </w:r>
      <w:r>
        <w:rPr>
          <w:rFonts w:ascii="Times New Roman" w:hAnsi="Times New Roman"/>
          <w:sz w:val="20"/>
          <w:lang w:val="sl-SI"/>
        </w:rPr>
        <w:t xml:space="preserve"> </w:t>
      </w:r>
      <w:r w:rsidRPr="00D03292">
        <w:rPr>
          <w:rFonts w:ascii="Times New Roman" w:hAnsi="Times New Roman"/>
          <w:sz w:val="20"/>
          <w:lang w:val="sl-SI"/>
        </w:rPr>
        <w:t xml:space="preserve">členu te pogodbe. </w:t>
      </w:r>
    </w:p>
    <w:p w:rsidR="00D03292" w:rsidRPr="00D03292" w:rsidRDefault="00D03292" w:rsidP="00D03292">
      <w:pPr>
        <w:numPr>
          <w:ilvl w:val="12"/>
          <w:numId w:val="0"/>
        </w:numPr>
        <w:jc w:val="both"/>
        <w:rPr>
          <w:rFonts w:ascii="Times New Roman" w:hAnsi="Times New Roman"/>
          <w:sz w:val="20"/>
          <w:lang w:val="sl-SI"/>
        </w:rPr>
      </w:pPr>
      <w:r w:rsidRPr="00D03292">
        <w:rPr>
          <w:rFonts w:ascii="Times New Roman" w:hAnsi="Times New Roman"/>
          <w:sz w:val="20"/>
          <w:lang w:val="sl-SI"/>
        </w:rPr>
        <w:t>Če izvajalec opravlja dela s podizvajalcem, za katerega ni pridobil pisnega soglasja naročnika, mu bo naročnik</w:t>
      </w:r>
      <w:r>
        <w:rPr>
          <w:rFonts w:ascii="Times New Roman" w:hAnsi="Times New Roman"/>
          <w:sz w:val="20"/>
          <w:lang w:val="sl-SI"/>
        </w:rPr>
        <w:t xml:space="preserve"> </w:t>
      </w:r>
      <w:r w:rsidRPr="00D03292">
        <w:rPr>
          <w:rFonts w:ascii="Times New Roman" w:hAnsi="Times New Roman"/>
          <w:sz w:val="20"/>
          <w:lang w:val="sl-SI"/>
        </w:rPr>
        <w:t>obračunal pogodbeno kazen v znesku 5.000,00 EUR. Pogodbeno kazen bo naročnik obračunal tudi v primeru, če</w:t>
      </w:r>
      <w:r>
        <w:rPr>
          <w:rFonts w:ascii="Times New Roman" w:hAnsi="Times New Roman"/>
          <w:sz w:val="20"/>
          <w:lang w:val="sl-SI"/>
        </w:rPr>
        <w:t xml:space="preserve"> </w:t>
      </w:r>
      <w:r w:rsidRPr="00D03292">
        <w:rPr>
          <w:rFonts w:ascii="Times New Roman" w:hAnsi="Times New Roman"/>
          <w:sz w:val="20"/>
          <w:lang w:val="sl-SI"/>
        </w:rPr>
        <w:t>podizvajalec opravlja dela, ki po vsebini in finančni vrednosti presegajo obseg nominacije.</w:t>
      </w:r>
    </w:p>
    <w:p w:rsidR="00811A30" w:rsidRPr="00F95E6F" w:rsidRDefault="00D03292" w:rsidP="00D03292">
      <w:pPr>
        <w:numPr>
          <w:ilvl w:val="12"/>
          <w:numId w:val="0"/>
        </w:numPr>
        <w:jc w:val="both"/>
        <w:rPr>
          <w:rFonts w:ascii="Times New Roman" w:hAnsi="Times New Roman"/>
          <w:sz w:val="20"/>
          <w:lang w:val="sl-SI"/>
        </w:rPr>
      </w:pPr>
      <w:r w:rsidRPr="00D03292">
        <w:rPr>
          <w:rFonts w:ascii="Times New Roman" w:hAnsi="Times New Roman"/>
          <w:sz w:val="20"/>
          <w:lang w:val="sl-SI"/>
        </w:rPr>
        <w:t>Če izvajalec klub pozivu naročnika nadaljuje z opravljanjem dela s podizvajalcem, za katerega ni pridobil</w:t>
      </w:r>
      <w:r>
        <w:rPr>
          <w:rFonts w:ascii="Times New Roman" w:hAnsi="Times New Roman"/>
          <w:sz w:val="20"/>
          <w:lang w:val="sl-SI"/>
        </w:rPr>
        <w:t xml:space="preserve"> </w:t>
      </w:r>
      <w:r w:rsidRPr="00D03292">
        <w:rPr>
          <w:rFonts w:ascii="Times New Roman" w:hAnsi="Times New Roman"/>
          <w:sz w:val="20"/>
          <w:lang w:val="sl-SI"/>
        </w:rPr>
        <w:t>pisnega soglasja naročnika, ravnanje izvajalca pomeni bistveno kršitev pogodbe.</w:t>
      </w:r>
    </w:p>
    <w:p w:rsidR="00811A30" w:rsidRPr="00F95E6F" w:rsidRDefault="00811A30" w:rsidP="00D03292">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Naslov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AC5446">
        <w:rPr>
          <w:rFonts w:ascii="Times New Roman" w:hAnsi="Times New Roman"/>
          <w:sz w:val="20"/>
          <w:lang w:val="sl-SI"/>
        </w:rPr>
        <w:t>ijska doba za izvedena dela je 5 let</w:t>
      </w:r>
      <w:r w:rsidRPr="00F95E6F">
        <w:rPr>
          <w:rFonts w:ascii="Times New Roman" w:hAnsi="Times New Roman"/>
          <w:sz w:val="20"/>
          <w:lang w:val="sl-SI"/>
        </w:rPr>
        <w:t xml:space="preserve">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Izvajalec je ob tehničnem pregledu oziroma prevzemu del naročniku dolžan izročiti garancijo banke ali zavarovalnice za odpravo napak v garancijski dobi v višini 5 % vrednosti </w:t>
      </w:r>
      <w:r w:rsidR="00AC5446">
        <w:rPr>
          <w:rFonts w:ascii="Times New Roman" w:hAnsi="Times New Roman"/>
          <w:sz w:val="20"/>
          <w:lang w:val="sl-SI"/>
        </w:rPr>
        <w:t>izvedenih</w:t>
      </w:r>
      <w:r w:rsidRPr="00F95E6F">
        <w:rPr>
          <w:rFonts w:ascii="Times New Roman" w:hAnsi="Times New Roman"/>
          <w:sz w:val="20"/>
          <w:lang w:val="sl-SI"/>
        </w:rPr>
        <w:t xml:space="preserve"> del</w:t>
      </w:r>
      <w:r w:rsidR="00AC5446">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za </w:t>
      </w:r>
      <w:r w:rsidR="00AC5446">
        <w:rPr>
          <w:rFonts w:ascii="Times New Roman" w:hAnsi="Times New Roman"/>
          <w:sz w:val="20"/>
          <w:lang w:val="sl-SI"/>
        </w:rPr>
        <w:t>trideset (30) dni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AC5446">
        <w:rPr>
          <w:rFonts w:ascii="Times New Roman" w:hAnsi="Times New Roman"/>
          <w:sz w:val="20"/>
          <w:lang w:val="sl-SI"/>
        </w:rPr>
        <w:t xml:space="preserve">naročnika </w:t>
      </w:r>
      <w:r w:rsidR="00AC5446">
        <w:rPr>
          <w:rFonts w:ascii="Times New Roman" w:hAnsi="Times New Roman"/>
          <w:sz w:val="20"/>
          <w:lang w:val="sl-SI"/>
        </w:rPr>
        <w:t xml:space="preserve">- </w:t>
      </w:r>
      <w:r w:rsidRPr="00AC5446">
        <w:rPr>
          <w:rFonts w:ascii="Times New Roman" w:hAnsi="Times New Roman"/>
          <w:sz w:val="20"/>
          <w:lang w:val="sl-SI"/>
        </w:rPr>
        <w:t xml:space="preserve">nosilec naročila </w:t>
      </w:r>
      <w:r w:rsidRPr="009B70BB">
        <w:rPr>
          <w:rFonts w:ascii="Times New Roman" w:hAnsi="Times New Roman"/>
          <w:sz w:val="20"/>
          <w:lang w:val="sl-SI"/>
        </w:rPr>
        <w:t>je g.</w:t>
      </w:r>
      <w:r w:rsidR="00AC5446">
        <w:rPr>
          <w:rFonts w:ascii="Times New Roman" w:hAnsi="Times New Roman"/>
          <w:sz w:val="20"/>
          <w:lang w:val="sl-SI"/>
        </w:rPr>
        <w:t xml:space="preserve"> Mag. Vlado Oštir, univ. dipl. inž. grad</w:t>
      </w:r>
      <w:r w:rsidRPr="009B70BB">
        <w:rPr>
          <w:rFonts w:ascii="Times New Roman" w:hAnsi="Times New Roman"/>
          <w:sz w:val="20"/>
          <w:lang w:val="sl-SI"/>
        </w:rPr>
        <w:t xml:space="preserve"> . Izvajalec je dolžan vso </w:t>
      </w:r>
      <w:r w:rsidR="00AC5446">
        <w:rPr>
          <w:rFonts w:ascii="Times New Roman" w:hAnsi="Times New Roman"/>
          <w:sz w:val="20"/>
          <w:lang w:val="sl-SI"/>
        </w:rPr>
        <w:t xml:space="preserve">pisno </w:t>
      </w:r>
      <w:r w:rsidRPr="009B70BB">
        <w:rPr>
          <w:rFonts w:ascii="Times New Roman" w:hAnsi="Times New Roman"/>
          <w:sz w:val="20"/>
          <w:lang w:val="sl-SI"/>
        </w:rPr>
        <w:t>korespondenco pošiljati naročniku.</w:t>
      </w:r>
    </w:p>
    <w:p w:rsidR="00D50348" w:rsidRPr="009B70BB" w:rsidRDefault="00D50348" w:rsidP="00D50348">
      <w:pPr>
        <w:numPr>
          <w:ilvl w:val="12"/>
          <w:numId w:val="0"/>
        </w:numPr>
        <w:jc w:val="both"/>
        <w:rPr>
          <w:rFonts w:ascii="Times New Roman" w:hAnsi="Times New Roman"/>
          <w:sz w:val="20"/>
          <w:lang w:val="sl-SI"/>
        </w:rPr>
      </w:pPr>
    </w:p>
    <w:p w:rsidR="00AC5446" w:rsidRPr="00AC5446" w:rsidRDefault="00AC5446" w:rsidP="00AC5446">
      <w:pPr>
        <w:numPr>
          <w:ilvl w:val="12"/>
          <w:numId w:val="0"/>
        </w:numPr>
        <w:spacing w:before="60"/>
        <w:jc w:val="both"/>
        <w:rPr>
          <w:rFonts w:ascii="Times New Roman" w:hAnsi="Times New Roman"/>
          <w:sz w:val="20"/>
          <w:lang w:val="sl-SI"/>
        </w:rPr>
      </w:pPr>
      <w:proofErr w:type="spellStart"/>
      <w:r w:rsidRPr="00AC5446">
        <w:rPr>
          <w:rFonts w:ascii="Times New Roman" w:hAnsi="Times New Roman"/>
          <w:sz w:val="20"/>
          <w:lang w:val="sl-SI"/>
        </w:rPr>
        <w:t>Konzultantska</w:t>
      </w:r>
      <w:proofErr w:type="spellEnd"/>
      <w:r w:rsidRPr="00AC5446">
        <w:rPr>
          <w:rFonts w:ascii="Times New Roman" w:hAnsi="Times New Roman"/>
          <w:sz w:val="20"/>
          <w:lang w:val="sl-SI"/>
        </w:rPr>
        <w:t xml:space="preserve"> opravila za naročnika bo izvajalo podjetje DRI upravljanje investicij, Družba za razvoj</w:t>
      </w:r>
    </w:p>
    <w:p w:rsidR="00D50348" w:rsidRDefault="00AC5446" w:rsidP="00AC5446">
      <w:pPr>
        <w:numPr>
          <w:ilvl w:val="12"/>
          <w:numId w:val="0"/>
        </w:numPr>
        <w:spacing w:before="60"/>
        <w:jc w:val="both"/>
        <w:rPr>
          <w:rFonts w:ascii="Times New Roman" w:hAnsi="Times New Roman"/>
          <w:sz w:val="20"/>
          <w:lang w:val="sl-SI"/>
        </w:rPr>
      </w:pPr>
      <w:r w:rsidRPr="00AC5446">
        <w:rPr>
          <w:rFonts w:ascii="Times New Roman" w:hAnsi="Times New Roman"/>
          <w:sz w:val="20"/>
          <w:lang w:val="sl-SI"/>
        </w:rPr>
        <w:t xml:space="preserve">infrastrukture, </w:t>
      </w:r>
      <w:proofErr w:type="spellStart"/>
      <w:r w:rsidRPr="00AC5446">
        <w:rPr>
          <w:rFonts w:ascii="Times New Roman" w:hAnsi="Times New Roman"/>
          <w:sz w:val="20"/>
          <w:lang w:val="sl-SI"/>
        </w:rPr>
        <w:t>d.o.o</w:t>
      </w:r>
      <w:proofErr w:type="spellEnd"/>
      <w:r w:rsidRPr="00AC5446">
        <w:rPr>
          <w:rFonts w:ascii="Times New Roman" w:hAnsi="Times New Roman"/>
          <w:sz w:val="20"/>
          <w:lang w:val="sl-SI"/>
        </w:rPr>
        <w:t xml:space="preserve">., </w:t>
      </w:r>
      <w:r>
        <w:rPr>
          <w:rFonts w:ascii="Times New Roman" w:hAnsi="Times New Roman"/>
          <w:sz w:val="20"/>
          <w:lang w:val="sl-SI"/>
        </w:rPr>
        <w:t xml:space="preserve">ki za konzultanta </w:t>
      </w:r>
      <w:r w:rsidRPr="00AC5446">
        <w:rPr>
          <w:rFonts w:ascii="Times New Roman" w:hAnsi="Times New Roman"/>
          <w:sz w:val="20"/>
          <w:lang w:val="sl-SI"/>
        </w:rPr>
        <w:t>d</w:t>
      </w:r>
      <w:r>
        <w:rPr>
          <w:rFonts w:ascii="Times New Roman" w:hAnsi="Times New Roman"/>
          <w:sz w:val="20"/>
          <w:lang w:val="sl-SI"/>
        </w:rPr>
        <w:t>oloča g. Marka Zajca, inž. grad</w:t>
      </w:r>
      <w:r w:rsidRPr="00AC5446">
        <w:rPr>
          <w:rFonts w:ascii="Times New Roman" w:hAnsi="Times New Roman"/>
          <w:sz w:val="20"/>
          <w:lang w:val="sl-SI"/>
        </w:rPr>
        <w:t>.</w:t>
      </w:r>
    </w:p>
    <w:p w:rsidR="00AC5446" w:rsidRPr="009B70BB" w:rsidRDefault="00AC5446" w:rsidP="00AC5446">
      <w:pPr>
        <w:numPr>
          <w:ilvl w:val="12"/>
          <w:numId w:val="0"/>
        </w:numPr>
        <w:spacing w:before="60"/>
        <w:jc w:val="both"/>
        <w:rPr>
          <w:rFonts w:ascii="Times New Roman" w:hAnsi="Times New Roman"/>
          <w:sz w:val="20"/>
          <w:lang w:val="sl-SI"/>
        </w:rPr>
      </w:pPr>
    </w:p>
    <w:p w:rsidR="00D50348" w:rsidRPr="009B70BB" w:rsidRDefault="00AC5446" w:rsidP="00D50348">
      <w:pPr>
        <w:spacing w:line="240" w:lineRule="atLeast"/>
        <w:jc w:val="both"/>
        <w:rPr>
          <w:rFonts w:ascii="Times New Roman" w:hAnsi="Times New Roman"/>
          <w:snapToGrid w:val="0"/>
          <w:sz w:val="20"/>
          <w:lang w:val="sl-SI" w:eastAsia="en-US"/>
        </w:rPr>
      </w:pPr>
      <w:r>
        <w:rPr>
          <w:rFonts w:ascii="Times New Roman" w:hAnsi="Times New Roman"/>
          <w:snapToGrid w:val="0"/>
          <w:sz w:val="20"/>
          <w:lang w:val="sl-SI" w:eastAsia="en-US"/>
        </w:rPr>
        <w:t>Nadzornik</w:t>
      </w:r>
      <w:r w:rsidR="00D50348" w:rsidRPr="009B70BB">
        <w:rPr>
          <w:rFonts w:ascii="Times New Roman" w:hAnsi="Times New Roman"/>
          <w:snapToGrid w:val="0"/>
          <w:sz w:val="20"/>
          <w:lang w:val="sl-SI" w:eastAsia="en-US"/>
        </w:rPr>
        <w:t xml:space="preserve"> po tej pogodbi je v skladu z </w:t>
      </w:r>
      <w:r w:rsidR="00D50348" w:rsidRPr="005F1B7F">
        <w:rPr>
          <w:rFonts w:ascii="Times New Roman" w:hAnsi="Times New Roman"/>
          <w:snapToGrid w:val="0"/>
          <w:sz w:val="20"/>
          <w:lang w:val="sl-SI" w:eastAsia="en-US"/>
        </w:rPr>
        <w:t>določili Gradbe</w:t>
      </w:r>
      <w:r w:rsidRPr="005F1B7F">
        <w:rPr>
          <w:rFonts w:ascii="Times New Roman" w:hAnsi="Times New Roman"/>
          <w:snapToGrid w:val="0"/>
          <w:sz w:val="20"/>
          <w:lang w:val="sl-SI" w:eastAsia="en-US"/>
        </w:rPr>
        <w:t>nega zakona (UL RS, št. 61/17,</w:t>
      </w:r>
      <w:r w:rsidR="00D50348" w:rsidRPr="005F1B7F">
        <w:rPr>
          <w:rFonts w:ascii="Times New Roman" w:hAnsi="Times New Roman"/>
          <w:snapToGrid w:val="0"/>
          <w:sz w:val="20"/>
          <w:lang w:val="sl-SI" w:eastAsia="en-US"/>
        </w:rPr>
        <w:t xml:space="preserve"> 72/17</w:t>
      </w:r>
      <w:r w:rsidR="003B53BE">
        <w:rPr>
          <w:rFonts w:ascii="Times New Roman" w:hAnsi="Times New Roman"/>
          <w:snapToGrid w:val="0"/>
          <w:sz w:val="20"/>
          <w:lang w:val="sl-SI" w:eastAsia="en-US"/>
        </w:rPr>
        <w:t>–</w:t>
      </w:r>
      <w:proofErr w:type="spellStart"/>
      <w:r w:rsidR="003B53BE">
        <w:rPr>
          <w:rFonts w:ascii="Times New Roman" w:hAnsi="Times New Roman"/>
          <w:snapToGrid w:val="0"/>
          <w:sz w:val="20"/>
          <w:lang w:val="sl-SI" w:eastAsia="en-US"/>
        </w:rPr>
        <w:t>popr</w:t>
      </w:r>
      <w:proofErr w:type="spellEnd"/>
      <w:r w:rsidR="003B53BE">
        <w:rPr>
          <w:rFonts w:ascii="Times New Roman" w:hAnsi="Times New Roman"/>
          <w:snapToGrid w:val="0"/>
          <w:sz w:val="20"/>
          <w:lang w:val="sl-SI" w:eastAsia="en-US"/>
        </w:rPr>
        <w:t xml:space="preserve">., </w:t>
      </w:r>
      <w:r w:rsidR="00E50FC8" w:rsidRPr="005F1B7F">
        <w:rPr>
          <w:rFonts w:ascii="Times New Roman" w:hAnsi="Times New Roman"/>
          <w:snapToGrid w:val="0"/>
          <w:sz w:val="20"/>
          <w:lang w:val="sl-SI" w:eastAsia="en-US"/>
        </w:rPr>
        <w:t>65/20</w:t>
      </w:r>
      <w:r w:rsidR="003B53BE">
        <w:rPr>
          <w:rFonts w:ascii="Times New Roman" w:hAnsi="Times New Roman"/>
          <w:snapToGrid w:val="0"/>
          <w:sz w:val="20"/>
          <w:lang w:val="sl-SI" w:eastAsia="en-US"/>
        </w:rPr>
        <w:t xml:space="preserve"> in 15/21 – ZDUOP)</w:t>
      </w:r>
      <w:r w:rsidR="00E50FC8" w:rsidRPr="005F1B7F">
        <w:rPr>
          <w:rFonts w:ascii="Times New Roman" w:hAnsi="Times New Roman"/>
          <w:snapToGrid w:val="0"/>
          <w:sz w:val="20"/>
          <w:lang w:val="sl-SI" w:eastAsia="en-US"/>
        </w:rPr>
        <w:t xml:space="preserve"> </w:t>
      </w:r>
      <w:r w:rsidR="00D50348" w:rsidRPr="009B70BB">
        <w:rPr>
          <w:rFonts w:ascii="Times New Roman" w:hAnsi="Times New Roman"/>
          <w:snapToGrid w:val="0"/>
          <w:sz w:val="20"/>
          <w:lang w:val="sl-SI" w:eastAsia="en-US"/>
        </w:rPr>
        <w:t xml:space="preserve">podjetje </w:t>
      </w:r>
      <w:r w:rsidR="00E50FC8" w:rsidRPr="00E50FC8">
        <w:rPr>
          <w:rFonts w:ascii="Times New Roman" w:hAnsi="Times New Roman"/>
          <w:snapToGrid w:val="0"/>
          <w:sz w:val="20"/>
          <w:lang w:val="sl-SI" w:eastAsia="en-US"/>
        </w:rPr>
        <w:t xml:space="preserve">DRI upravljanje investicij, Družba za razvoj infrastrukture, </w:t>
      </w:r>
      <w:proofErr w:type="spellStart"/>
      <w:r w:rsidR="00E50FC8" w:rsidRPr="00E50FC8">
        <w:rPr>
          <w:rFonts w:ascii="Times New Roman" w:hAnsi="Times New Roman"/>
          <w:snapToGrid w:val="0"/>
          <w:sz w:val="20"/>
          <w:lang w:val="sl-SI" w:eastAsia="en-US"/>
        </w:rPr>
        <w:t>d.o.o</w:t>
      </w:r>
      <w:proofErr w:type="spellEnd"/>
      <w:r w:rsidR="00E50FC8" w:rsidRPr="00E50FC8">
        <w:rPr>
          <w:rFonts w:ascii="Times New Roman" w:hAnsi="Times New Roman"/>
          <w:snapToGrid w:val="0"/>
          <w:sz w:val="20"/>
          <w:lang w:val="sl-SI" w:eastAsia="en-US"/>
        </w:rPr>
        <w:t>.,</w:t>
      </w:r>
      <w:r w:rsidR="00D50348" w:rsidRPr="009B70BB">
        <w:rPr>
          <w:rFonts w:ascii="Times New Roman" w:hAnsi="Times New Roman"/>
          <w:snapToGrid w:val="0"/>
          <w:sz w:val="20"/>
          <w:lang w:val="sl-SI" w:eastAsia="en-US"/>
        </w:rPr>
        <w:t xml:space="preserve">, ki </w:t>
      </w:r>
      <w:r w:rsidR="00D50348" w:rsidRPr="005F1B7F">
        <w:rPr>
          <w:rFonts w:ascii="Times New Roman" w:hAnsi="Times New Roman"/>
          <w:snapToGrid w:val="0"/>
          <w:sz w:val="20"/>
          <w:lang w:val="sl-SI" w:eastAsia="en-US"/>
        </w:rPr>
        <w:t>za vodjo nadzora</w:t>
      </w:r>
      <w:r w:rsidR="00E50FC8" w:rsidRPr="005F1B7F">
        <w:rPr>
          <w:rFonts w:ascii="Times New Roman" w:hAnsi="Times New Roman"/>
          <w:snapToGrid w:val="0"/>
          <w:sz w:val="20"/>
          <w:lang w:val="sl-SI" w:eastAsia="en-US"/>
        </w:rPr>
        <w:t xml:space="preserve"> </w:t>
      </w:r>
      <w:r w:rsidR="00E50FC8">
        <w:rPr>
          <w:rFonts w:ascii="Times New Roman" w:hAnsi="Times New Roman"/>
          <w:snapToGrid w:val="0"/>
          <w:sz w:val="20"/>
          <w:lang w:val="sl-SI" w:eastAsia="en-US"/>
        </w:rPr>
        <w:t xml:space="preserve">imenuje </w:t>
      </w:r>
      <w:r w:rsidR="009931D1">
        <w:rPr>
          <w:rFonts w:ascii="Times New Roman" w:hAnsi="Times New Roman"/>
          <w:snapToGrid w:val="0"/>
          <w:sz w:val="20"/>
          <w:lang w:val="sl-SI" w:eastAsia="en-US"/>
        </w:rPr>
        <w:t>g/ga………………………………..</w:t>
      </w:r>
      <w:r w:rsidR="00E50FC8">
        <w:rPr>
          <w:rFonts w:ascii="Times New Roman" w:hAnsi="Times New Roman"/>
          <w:snapToGrid w:val="0"/>
          <w:sz w:val="20"/>
          <w:lang w:val="sl-SI" w:eastAsia="en-US"/>
        </w:rPr>
        <w:t>.</w:t>
      </w:r>
      <w:r w:rsidR="009931D1">
        <w:rPr>
          <w:rFonts w:ascii="Times New Roman" w:hAnsi="Times New Roman"/>
          <w:snapToGrid w:val="0"/>
          <w:sz w:val="20"/>
          <w:lang w:val="sl-SI" w:eastAsia="en-US"/>
        </w:rPr>
        <w:t xml:space="preserve"> .</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5F1B7F">
        <w:rPr>
          <w:rFonts w:ascii="Times New Roman" w:hAnsi="Times New Roman"/>
          <w:snapToGrid w:val="0"/>
          <w:sz w:val="20"/>
          <w:lang w:val="sl-SI" w:eastAsia="en-US"/>
        </w:rPr>
        <w:t>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E50FC8" w:rsidRPr="005F1B7F">
        <w:rPr>
          <w:rFonts w:ascii="Times New Roman" w:hAnsi="Times New Roman"/>
          <w:snapToGrid w:val="0"/>
          <w:sz w:val="20"/>
          <w:lang w:val="sl-SI" w:eastAsia="en-US"/>
        </w:rPr>
        <w:t xml:space="preserve"> in 43/11 – ZVZD-</w:t>
      </w:r>
      <w:r w:rsidR="00E50FC8">
        <w:rPr>
          <w:rFonts w:ascii="Times New Roman" w:hAnsi="Times New Roman"/>
          <w:snapToGrid w:val="0"/>
          <w:sz w:val="20"/>
          <w:lang w:val="sl-SI" w:eastAsia="en-US"/>
        </w:rPr>
        <w:t>1</w:t>
      </w:r>
      <w:r w:rsidRPr="009B70BB">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E50FC8" w:rsidP="00D50348">
      <w:pPr>
        <w:pStyle w:val="Telobesedila"/>
        <w:numPr>
          <w:ilvl w:val="12"/>
          <w:numId w:val="0"/>
        </w:numPr>
        <w:spacing w:before="60"/>
        <w:rPr>
          <w:rFonts w:ascii="Times New Roman" w:hAnsi="Times New Roman"/>
        </w:rPr>
      </w:pPr>
      <w:r w:rsidRPr="00E50FC8">
        <w:rPr>
          <w:rFonts w:ascii="Times New Roman" w:hAnsi="Times New Roman"/>
        </w:rPr>
        <w:t xml:space="preserve">Vodja </w:t>
      </w:r>
      <w:r w:rsidR="00D50348" w:rsidRPr="00E50FC8">
        <w:rPr>
          <w:rFonts w:ascii="Times New Roman" w:hAnsi="Times New Roman"/>
        </w:rPr>
        <w:t xml:space="preserve">gradnje </w:t>
      </w:r>
      <w:r w:rsidR="00D50348" w:rsidRPr="009B70BB">
        <w:rPr>
          <w:rFonts w:ascii="Times New Roman" w:hAnsi="Times New Roman"/>
        </w:rPr>
        <w:t>s strani izvajalca je g.</w:t>
      </w:r>
      <w:r w:rsidR="00F251A2">
        <w:rPr>
          <w:rFonts w:ascii="Times New Roman" w:hAnsi="Times New Roman"/>
        </w:rPr>
        <w:t>/ga.</w:t>
      </w:r>
      <w:r w:rsidR="00D50348"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E50FC8" w:rsidRDefault="00E50FC8"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Popis del</w:t>
      </w:r>
    </w:p>
    <w:p w:rsidR="00CF1E87" w:rsidRDefault="00E50FC8" w:rsidP="00E50FC8">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50FC8">
        <w:rPr>
          <w:rFonts w:ascii="Times New Roman" w:hAnsi="Times New Roman"/>
          <w:iCs/>
          <w:sz w:val="20"/>
          <w:lang w:val="sl-SI"/>
        </w:rPr>
        <w:t>Zahteve za bitumensk</w:t>
      </w:r>
      <w:r>
        <w:rPr>
          <w:rFonts w:ascii="Times New Roman" w:hAnsi="Times New Roman"/>
          <w:iCs/>
          <w:sz w:val="20"/>
          <w:lang w:val="sl-SI"/>
        </w:rPr>
        <w:t>a veziva in bituminizirane zmesi</w:t>
      </w:r>
    </w:p>
    <w:p w:rsidR="00CF1E87" w:rsidRPr="00F95E6F" w:rsidRDefault="00CF1E87" w:rsidP="006E21A1">
      <w:pPr>
        <w:tabs>
          <w:tab w:val="left" w:pos="643"/>
        </w:tabs>
        <w:autoSpaceDE w:val="0"/>
        <w:autoSpaceDN w:val="0"/>
        <w:adjustRightInd w:val="0"/>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E50FC8" w:rsidRDefault="00F251A2" w:rsidP="00F251A2">
      <w:pPr>
        <w:numPr>
          <w:ilvl w:val="12"/>
          <w:numId w:val="0"/>
        </w:numPr>
        <w:jc w:val="both"/>
        <w:rPr>
          <w:rFonts w:ascii="Times New Roman" w:hAnsi="Times New Roman"/>
          <w:sz w:val="20"/>
          <w:lang w:val="sl-SI"/>
        </w:rPr>
      </w:pPr>
      <w:r w:rsidRPr="00E50FC8">
        <w:rPr>
          <w:rFonts w:ascii="Times New Roman" w:hAnsi="Times New Roman"/>
          <w:sz w:val="20"/>
          <w:lang w:val="sl-SI"/>
        </w:rPr>
        <w:t>Ta pogodba je sklenjena pod razveznim pogojem, ki se uresniči v primeru izpolnitve ene od naslednjih okoliščin:</w:t>
      </w:r>
    </w:p>
    <w:p w:rsidR="00F251A2" w:rsidRPr="00E50FC8" w:rsidRDefault="00F251A2" w:rsidP="00F251A2">
      <w:pPr>
        <w:numPr>
          <w:ilvl w:val="0"/>
          <w:numId w:val="22"/>
        </w:numPr>
        <w:jc w:val="both"/>
        <w:rPr>
          <w:rFonts w:ascii="Times New Roman" w:hAnsi="Times New Roman"/>
          <w:sz w:val="20"/>
          <w:lang w:val="sl-SI"/>
        </w:rPr>
      </w:pPr>
      <w:r w:rsidRPr="00E50FC8">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E50FC8" w:rsidRDefault="00F251A2" w:rsidP="00F251A2">
      <w:pPr>
        <w:numPr>
          <w:ilvl w:val="0"/>
          <w:numId w:val="22"/>
        </w:numPr>
        <w:jc w:val="both"/>
        <w:rPr>
          <w:rFonts w:ascii="Times New Roman" w:hAnsi="Times New Roman"/>
          <w:sz w:val="20"/>
          <w:lang w:val="sl-SI"/>
        </w:rPr>
      </w:pPr>
      <w:r w:rsidRPr="00E50FC8">
        <w:rPr>
          <w:rFonts w:ascii="Times New Roman" w:hAnsi="Times New Roman"/>
          <w:sz w:val="20"/>
          <w:lang w:val="sl-SI"/>
        </w:rPr>
        <w:lastRenderedPageBreak/>
        <w:t>če bo naročnik seznanjen, da je pristojni državni organ pri izvajalcu ali podizvajalcu v času izvajanja pogodbe ugotovil najmanj dve kršitvi v zvezi s:</w:t>
      </w:r>
    </w:p>
    <w:p w:rsidR="00F251A2" w:rsidRPr="00E50FC8" w:rsidRDefault="00F251A2" w:rsidP="00F251A2">
      <w:pPr>
        <w:numPr>
          <w:ilvl w:val="1"/>
          <w:numId w:val="22"/>
        </w:numPr>
        <w:jc w:val="both"/>
        <w:rPr>
          <w:rFonts w:ascii="Times New Roman" w:hAnsi="Times New Roman"/>
          <w:sz w:val="20"/>
          <w:lang w:val="sl-SI"/>
        </w:rPr>
      </w:pPr>
      <w:r w:rsidRPr="00E50FC8">
        <w:rPr>
          <w:rFonts w:ascii="Times New Roman" w:hAnsi="Times New Roman"/>
          <w:sz w:val="20"/>
          <w:lang w:val="sl-SI"/>
        </w:rPr>
        <w:t xml:space="preserve">plačilom za delo, </w:t>
      </w:r>
    </w:p>
    <w:p w:rsidR="00F251A2" w:rsidRPr="00E50FC8" w:rsidRDefault="00F251A2" w:rsidP="00F251A2">
      <w:pPr>
        <w:numPr>
          <w:ilvl w:val="1"/>
          <w:numId w:val="22"/>
        </w:numPr>
        <w:jc w:val="both"/>
        <w:rPr>
          <w:rFonts w:ascii="Times New Roman" w:hAnsi="Times New Roman"/>
          <w:sz w:val="20"/>
          <w:lang w:val="sl-SI"/>
        </w:rPr>
      </w:pPr>
      <w:r w:rsidRPr="00E50FC8">
        <w:rPr>
          <w:rFonts w:ascii="Times New Roman" w:hAnsi="Times New Roman"/>
          <w:sz w:val="20"/>
          <w:lang w:val="sl-SI"/>
        </w:rPr>
        <w:t xml:space="preserve">delovnim časom, </w:t>
      </w:r>
    </w:p>
    <w:p w:rsidR="00F251A2" w:rsidRPr="00E50FC8" w:rsidRDefault="00F251A2" w:rsidP="00F251A2">
      <w:pPr>
        <w:numPr>
          <w:ilvl w:val="1"/>
          <w:numId w:val="22"/>
        </w:numPr>
        <w:jc w:val="both"/>
        <w:rPr>
          <w:rFonts w:ascii="Times New Roman" w:hAnsi="Times New Roman"/>
          <w:sz w:val="20"/>
          <w:lang w:val="sl-SI"/>
        </w:rPr>
      </w:pPr>
      <w:r w:rsidRPr="00E50FC8">
        <w:rPr>
          <w:rFonts w:ascii="Times New Roman" w:hAnsi="Times New Roman"/>
          <w:sz w:val="20"/>
          <w:lang w:val="sl-SI"/>
        </w:rPr>
        <w:t xml:space="preserve">počitki, </w:t>
      </w:r>
    </w:p>
    <w:p w:rsidR="00F251A2" w:rsidRPr="00E50FC8" w:rsidRDefault="00F251A2" w:rsidP="00F251A2">
      <w:pPr>
        <w:numPr>
          <w:ilvl w:val="1"/>
          <w:numId w:val="22"/>
        </w:numPr>
        <w:jc w:val="both"/>
        <w:rPr>
          <w:rFonts w:ascii="Times New Roman" w:hAnsi="Times New Roman"/>
          <w:sz w:val="20"/>
          <w:lang w:val="sl-SI"/>
        </w:rPr>
      </w:pPr>
      <w:r w:rsidRPr="00E50FC8">
        <w:rPr>
          <w:rFonts w:ascii="Times New Roman" w:hAnsi="Times New Roman"/>
          <w:sz w:val="20"/>
          <w:lang w:val="sl-SI"/>
        </w:rPr>
        <w:t xml:space="preserve">opravljanjem dela na podlagi pogodb civilnega prava kljub obstoju elementov delovnega razmerja ali v zvezi z zaposlovanjem na črno </w:t>
      </w:r>
    </w:p>
    <w:p w:rsidR="00F251A2" w:rsidRPr="00E50FC8" w:rsidRDefault="00F251A2" w:rsidP="00F251A2">
      <w:pPr>
        <w:ind w:left="720"/>
        <w:jc w:val="both"/>
        <w:rPr>
          <w:rFonts w:ascii="Times New Roman" w:hAnsi="Times New Roman"/>
          <w:sz w:val="20"/>
          <w:lang w:val="sl-SI"/>
        </w:rPr>
      </w:pPr>
      <w:r w:rsidRPr="00E50FC8">
        <w:rPr>
          <w:rFonts w:ascii="Times New Roman" w:hAnsi="Times New Roman"/>
          <w:sz w:val="20"/>
          <w:lang w:val="sl-SI"/>
        </w:rPr>
        <w:t>in za kateri mu je bila s pravnomočno odločitvijo ali več pravnomočnimi odločitvami izrečena globa za prekršek,</w:t>
      </w:r>
    </w:p>
    <w:p w:rsidR="00F251A2" w:rsidRPr="00E50FC8" w:rsidRDefault="00F251A2" w:rsidP="00F251A2">
      <w:pPr>
        <w:numPr>
          <w:ilvl w:val="12"/>
          <w:numId w:val="0"/>
        </w:numPr>
        <w:spacing w:before="120" w:after="120"/>
        <w:jc w:val="both"/>
        <w:rPr>
          <w:rFonts w:ascii="Times New Roman" w:hAnsi="Times New Roman"/>
          <w:sz w:val="20"/>
          <w:lang w:val="sl-SI"/>
        </w:rPr>
      </w:pPr>
      <w:r w:rsidRPr="00E50FC8">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50FC8">
        <w:rPr>
          <w:rFonts w:ascii="Times New Roman" w:hAnsi="Times New Roman"/>
          <w:iCs/>
          <w:sz w:val="20"/>
          <w:lang w:val="sl-SI"/>
        </w:rPr>
        <w:t>skladu s 94. členom ZJN-3</w:t>
      </w:r>
      <w:r w:rsidRPr="00E50FC8">
        <w:rPr>
          <w:rFonts w:ascii="Times New Roman" w:hAnsi="Times New Roman"/>
          <w:sz w:val="20"/>
          <w:lang w:val="sl-SI"/>
        </w:rPr>
        <w:t xml:space="preserve"> in določili te pogodbe v roku 30 dni od seznanitve s kršitvijo. </w:t>
      </w:r>
    </w:p>
    <w:p w:rsidR="00F251A2" w:rsidRPr="00E50FC8" w:rsidRDefault="00F251A2" w:rsidP="00F251A2">
      <w:pPr>
        <w:numPr>
          <w:ilvl w:val="12"/>
          <w:numId w:val="0"/>
        </w:numPr>
        <w:spacing w:before="120" w:after="120"/>
        <w:jc w:val="both"/>
        <w:rPr>
          <w:rFonts w:ascii="Times New Roman" w:hAnsi="Times New Roman"/>
          <w:sz w:val="20"/>
          <w:lang w:val="sl-SI"/>
        </w:rPr>
      </w:pPr>
      <w:r w:rsidRPr="00E50FC8">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E50FC8" w:rsidRDefault="00F251A2" w:rsidP="00F251A2">
      <w:pPr>
        <w:numPr>
          <w:ilvl w:val="12"/>
          <w:numId w:val="0"/>
        </w:numPr>
        <w:spacing w:before="120" w:after="120"/>
        <w:jc w:val="both"/>
        <w:rPr>
          <w:rFonts w:ascii="Times New Roman" w:hAnsi="Times New Roman"/>
          <w:sz w:val="20"/>
          <w:lang w:val="sl-SI"/>
        </w:rPr>
      </w:pPr>
      <w:r w:rsidRPr="00E50FC8">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7B2CEB" w:rsidRDefault="00F251A2" w:rsidP="00F0048E">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E50FC8">
        <w:rPr>
          <w:rFonts w:ascii="Times New Roman" w:hAnsi="Times New Roman"/>
          <w:sz w:val="20"/>
          <w:lang w:val="sl-SI"/>
        </w:rPr>
        <w:t xml:space="preserve"> ali drugih razlogov na strani izvajalca</w:t>
      </w:r>
      <w:r>
        <w:rPr>
          <w:rFonts w:ascii="Times New Roman" w:hAnsi="Times New Roman"/>
          <w:sz w:val="20"/>
          <w:lang w:val="sl-SI"/>
        </w:rPr>
        <w:t xml:space="preserve">, naročnik plača izvajalcu izvršena dela, istočasno pa ima pravico obračunati izvajalcu od situacij plačilo pogodbene kazni </w:t>
      </w:r>
      <w:r w:rsidR="00F0048E">
        <w:rPr>
          <w:rFonts w:ascii="Times New Roman" w:hAnsi="Times New Roman"/>
          <w:sz w:val="20"/>
          <w:lang w:val="sl-SI"/>
        </w:rPr>
        <w:t xml:space="preserve">v višini 10% pogodbene vrednosti z DDV kot je določeno v 2. členu pogodbe </w:t>
      </w:r>
      <w:r>
        <w:rPr>
          <w:rFonts w:ascii="Times New Roman" w:hAnsi="Times New Roman"/>
          <w:sz w:val="20"/>
          <w:lang w:val="sl-SI"/>
        </w:rPr>
        <w:t xml:space="preserve">in plačilo za storjeno škodo zaradi </w:t>
      </w:r>
      <w:r w:rsidR="00F0048E" w:rsidRPr="00A1430C">
        <w:rPr>
          <w:rFonts w:ascii="Times New Roman" w:hAnsi="Times New Roman"/>
          <w:sz w:val="20"/>
          <w:lang w:val="sl-SI"/>
        </w:rPr>
        <w:t xml:space="preserve">neizpolnjevanja </w:t>
      </w:r>
      <w:r w:rsidRPr="00A1430C">
        <w:rPr>
          <w:rFonts w:ascii="Times New Roman" w:hAnsi="Times New Roman"/>
          <w:sz w:val="20"/>
          <w:lang w:val="sl-SI"/>
        </w:rPr>
        <w:t xml:space="preserve"> pogodbe</w:t>
      </w:r>
      <w:r w:rsidR="00F0048E" w:rsidRPr="00A1430C">
        <w:rPr>
          <w:rFonts w:ascii="Times New Roman" w:hAnsi="Times New Roman"/>
          <w:sz w:val="20"/>
          <w:lang w:val="sl-SI"/>
        </w:rPr>
        <w:t>nih obveznosti</w:t>
      </w:r>
      <w:r w:rsidRPr="00A1430C">
        <w:rPr>
          <w:rFonts w:ascii="Times New Roman" w:hAnsi="Times New Roman"/>
          <w:sz w:val="20"/>
          <w:lang w:val="sl-SI"/>
        </w:rPr>
        <w:t xml:space="preserve"> </w:t>
      </w:r>
      <w:r>
        <w:rPr>
          <w:rFonts w:ascii="Times New Roman" w:hAnsi="Times New Roman"/>
          <w:sz w:val="20"/>
          <w:lang w:val="sl-SI"/>
        </w:rPr>
        <w:t xml:space="preserve">in unovčiti dane garancije. </w:t>
      </w:r>
      <w:r w:rsidR="00F0048E" w:rsidRPr="00F0048E">
        <w:rPr>
          <w:rFonts w:ascii="Times New Roman" w:hAnsi="Times New Roman"/>
          <w:sz w:val="20"/>
          <w:lang w:val="sl-SI"/>
        </w:rPr>
        <w:t>V primeru, da škode ni možno ugotoviti, se ta obračuna v višini 10 % od pogodbene vrednosti z DDV</w:t>
      </w:r>
      <w:r w:rsidR="00F0048E">
        <w:rPr>
          <w:rFonts w:ascii="Times New Roman" w:hAnsi="Times New Roman"/>
          <w:sz w:val="20"/>
          <w:lang w:val="sl-SI"/>
        </w:rPr>
        <w:t xml:space="preserve"> </w:t>
      </w:r>
      <w:r w:rsidR="00F0048E" w:rsidRPr="00F0048E">
        <w:rPr>
          <w:rFonts w:ascii="Times New Roman" w:hAnsi="Times New Roman"/>
          <w:sz w:val="20"/>
          <w:lang w:val="sl-SI"/>
        </w:rPr>
        <w:t>kot je določeno v 2. členu te pogodbe.</w:t>
      </w:r>
    </w:p>
    <w:p w:rsidR="00F0048E" w:rsidRPr="00F95E6F" w:rsidRDefault="00F0048E" w:rsidP="00F0048E">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0048E" w:rsidRDefault="00F0048E">
      <w:pPr>
        <w:jc w:val="both"/>
        <w:rPr>
          <w:rFonts w:ascii="Times New Roman" w:hAnsi="Times New Roman"/>
          <w:sz w:val="20"/>
          <w:lang w:val="sl-SI"/>
        </w:rPr>
      </w:pPr>
    </w:p>
    <w:p w:rsidR="00F0048E" w:rsidRPr="00F95E6F" w:rsidRDefault="00F0048E" w:rsidP="00F0048E">
      <w:pPr>
        <w:jc w:val="both"/>
        <w:rPr>
          <w:rFonts w:ascii="Times New Roman" w:hAnsi="Times New Roman"/>
          <w:sz w:val="20"/>
          <w:lang w:val="sl-SI"/>
        </w:rPr>
      </w:pPr>
      <w:r w:rsidRPr="00F0048E">
        <w:rPr>
          <w:rFonts w:ascii="Times New Roman" w:hAnsi="Times New Roman"/>
          <w:sz w:val="20"/>
          <w:lang w:val="sl-SI"/>
        </w:rPr>
        <w:t>Če izvajalec ne bo izpolnil zahtevanih obveznosti iz prvega odstavka tega člena t</w:t>
      </w:r>
      <w:r>
        <w:rPr>
          <w:rFonts w:ascii="Times New Roman" w:hAnsi="Times New Roman"/>
          <w:sz w:val="20"/>
          <w:lang w:val="sl-SI"/>
        </w:rPr>
        <w:t xml:space="preserve">e pogodbe, se šteje, da pogodba </w:t>
      </w:r>
      <w:r w:rsidRPr="00F0048E">
        <w:rPr>
          <w:rFonts w:ascii="Times New Roman" w:hAnsi="Times New Roman"/>
          <w:sz w:val="20"/>
          <w:lang w:val="sl-SI"/>
        </w:rPr>
        <w:t>ni bila sklenjena, naročnik pa bo unovčil Garancijo za resnost ponudbe, v nasprotnem primeru, ob izpolnitvi</w:t>
      </w:r>
      <w:r>
        <w:rPr>
          <w:rFonts w:ascii="Times New Roman" w:hAnsi="Times New Roman"/>
          <w:sz w:val="20"/>
          <w:lang w:val="sl-SI"/>
        </w:rPr>
        <w:t xml:space="preserve"> </w:t>
      </w:r>
      <w:r w:rsidRPr="00F0048E">
        <w:rPr>
          <w:rFonts w:ascii="Times New Roman" w:hAnsi="Times New Roman"/>
          <w:sz w:val="20"/>
          <w:lang w:val="sl-SI"/>
        </w:rPr>
        <w:t>pogoja iz prvega odstavka tega člena, pa pogodba učinkuje od dneva sklenitve pogodbe. Kot datum sklenitve</w:t>
      </w:r>
      <w:r>
        <w:rPr>
          <w:rFonts w:ascii="Times New Roman" w:hAnsi="Times New Roman"/>
          <w:sz w:val="20"/>
          <w:lang w:val="sl-SI"/>
        </w:rPr>
        <w:t xml:space="preserve"> </w:t>
      </w:r>
      <w:r w:rsidRPr="00F0048E">
        <w:rPr>
          <w:rFonts w:ascii="Times New Roman" w:hAnsi="Times New Roman"/>
          <w:sz w:val="20"/>
          <w:lang w:val="sl-SI"/>
        </w:rPr>
        <w:t>pogodbe se šteje datum zadnjega podpisa pogodbenih strank.</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5D" w:rsidRDefault="00AD785D">
      <w:r>
        <w:separator/>
      </w:r>
    </w:p>
  </w:endnote>
  <w:endnote w:type="continuationSeparator" w:id="0">
    <w:p w:rsidR="00AD785D" w:rsidRDefault="00AD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D0633C">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D0633C">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5D" w:rsidRDefault="00AD785D">
      <w:r>
        <w:separator/>
      </w:r>
    </w:p>
  </w:footnote>
  <w:footnote w:type="continuationSeparator" w:id="0">
    <w:p w:rsidR="00AD785D" w:rsidRDefault="00AD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35E7"/>
    <w:rsid w:val="000E6B43"/>
    <w:rsid w:val="000F76AB"/>
    <w:rsid w:val="00104C49"/>
    <w:rsid w:val="00147DF8"/>
    <w:rsid w:val="0015568E"/>
    <w:rsid w:val="0019296D"/>
    <w:rsid w:val="00192FF7"/>
    <w:rsid w:val="00195F05"/>
    <w:rsid w:val="001A2F3C"/>
    <w:rsid w:val="001B67E6"/>
    <w:rsid w:val="001D741C"/>
    <w:rsid w:val="001E4B33"/>
    <w:rsid w:val="0021048D"/>
    <w:rsid w:val="00237405"/>
    <w:rsid w:val="00284356"/>
    <w:rsid w:val="002970AC"/>
    <w:rsid w:val="002C6292"/>
    <w:rsid w:val="002D27C7"/>
    <w:rsid w:val="002D7663"/>
    <w:rsid w:val="002E39F1"/>
    <w:rsid w:val="003026FB"/>
    <w:rsid w:val="00326F85"/>
    <w:rsid w:val="003446D8"/>
    <w:rsid w:val="00351605"/>
    <w:rsid w:val="003A096E"/>
    <w:rsid w:val="003B53BE"/>
    <w:rsid w:val="003C0703"/>
    <w:rsid w:val="003D2CC9"/>
    <w:rsid w:val="003D3368"/>
    <w:rsid w:val="003D7429"/>
    <w:rsid w:val="003E6C09"/>
    <w:rsid w:val="004001D1"/>
    <w:rsid w:val="004135C5"/>
    <w:rsid w:val="00422F89"/>
    <w:rsid w:val="00435EC3"/>
    <w:rsid w:val="004439B8"/>
    <w:rsid w:val="0047670C"/>
    <w:rsid w:val="00497D79"/>
    <w:rsid w:val="004A5E5A"/>
    <w:rsid w:val="004A5FDB"/>
    <w:rsid w:val="004B05BE"/>
    <w:rsid w:val="004B788B"/>
    <w:rsid w:val="004D013E"/>
    <w:rsid w:val="004D341A"/>
    <w:rsid w:val="004D566D"/>
    <w:rsid w:val="004D6C39"/>
    <w:rsid w:val="004E57FD"/>
    <w:rsid w:val="004F29CC"/>
    <w:rsid w:val="004F3589"/>
    <w:rsid w:val="0050752E"/>
    <w:rsid w:val="00510E0D"/>
    <w:rsid w:val="005221E6"/>
    <w:rsid w:val="005463C4"/>
    <w:rsid w:val="00566591"/>
    <w:rsid w:val="0059065A"/>
    <w:rsid w:val="005B6D91"/>
    <w:rsid w:val="005C37B6"/>
    <w:rsid w:val="005C7E27"/>
    <w:rsid w:val="005D4FD1"/>
    <w:rsid w:val="005E1337"/>
    <w:rsid w:val="005F1B7F"/>
    <w:rsid w:val="005F4609"/>
    <w:rsid w:val="005F594A"/>
    <w:rsid w:val="006112D9"/>
    <w:rsid w:val="0063091A"/>
    <w:rsid w:val="006316A9"/>
    <w:rsid w:val="0063283B"/>
    <w:rsid w:val="006572EA"/>
    <w:rsid w:val="00665D89"/>
    <w:rsid w:val="00682190"/>
    <w:rsid w:val="00687545"/>
    <w:rsid w:val="006B2C15"/>
    <w:rsid w:val="006C0B39"/>
    <w:rsid w:val="006E21A1"/>
    <w:rsid w:val="007076C8"/>
    <w:rsid w:val="00714565"/>
    <w:rsid w:val="007230EC"/>
    <w:rsid w:val="007262AE"/>
    <w:rsid w:val="007437C3"/>
    <w:rsid w:val="00750605"/>
    <w:rsid w:val="007609C2"/>
    <w:rsid w:val="00776F59"/>
    <w:rsid w:val="00787A37"/>
    <w:rsid w:val="007970B0"/>
    <w:rsid w:val="007B2CEB"/>
    <w:rsid w:val="007C50F0"/>
    <w:rsid w:val="00811A30"/>
    <w:rsid w:val="00811F1A"/>
    <w:rsid w:val="008370B7"/>
    <w:rsid w:val="00852E8D"/>
    <w:rsid w:val="00873C13"/>
    <w:rsid w:val="008A0439"/>
    <w:rsid w:val="008C1E88"/>
    <w:rsid w:val="008C38CB"/>
    <w:rsid w:val="008D7189"/>
    <w:rsid w:val="009157D2"/>
    <w:rsid w:val="00932051"/>
    <w:rsid w:val="0094372B"/>
    <w:rsid w:val="00963CF7"/>
    <w:rsid w:val="00967AB4"/>
    <w:rsid w:val="0097660B"/>
    <w:rsid w:val="009931D1"/>
    <w:rsid w:val="009A3509"/>
    <w:rsid w:val="009E6AEA"/>
    <w:rsid w:val="009F591B"/>
    <w:rsid w:val="00A1430C"/>
    <w:rsid w:val="00A22BE0"/>
    <w:rsid w:val="00A259D0"/>
    <w:rsid w:val="00A31CC0"/>
    <w:rsid w:val="00A3609F"/>
    <w:rsid w:val="00A3730A"/>
    <w:rsid w:val="00A4405B"/>
    <w:rsid w:val="00A4663B"/>
    <w:rsid w:val="00A663DA"/>
    <w:rsid w:val="00A8784E"/>
    <w:rsid w:val="00AA0462"/>
    <w:rsid w:val="00AC5446"/>
    <w:rsid w:val="00AD785D"/>
    <w:rsid w:val="00AF4563"/>
    <w:rsid w:val="00B01790"/>
    <w:rsid w:val="00B0520A"/>
    <w:rsid w:val="00B16CDC"/>
    <w:rsid w:val="00B312BB"/>
    <w:rsid w:val="00B414A9"/>
    <w:rsid w:val="00B43208"/>
    <w:rsid w:val="00B55FED"/>
    <w:rsid w:val="00B77924"/>
    <w:rsid w:val="00B93234"/>
    <w:rsid w:val="00B946BB"/>
    <w:rsid w:val="00BA1A87"/>
    <w:rsid w:val="00BA2CBD"/>
    <w:rsid w:val="00BA436F"/>
    <w:rsid w:val="00BC2ED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3292"/>
    <w:rsid w:val="00D0445B"/>
    <w:rsid w:val="00D0633C"/>
    <w:rsid w:val="00D14FB1"/>
    <w:rsid w:val="00D4627F"/>
    <w:rsid w:val="00D46CB3"/>
    <w:rsid w:val="00D50348"/>
    <w:rsid w:val="00D57BE7"/>
    <w:rsid w:val="00D61986"/>
    <w:rsid w:val="00D6392C"/>
    <w:rsid w:val="00D67EB1"/>
    <w:rsid w:val="00D915AF"/>
    <w:rsid w:val="00D91C33"/>
    <w:rsid w:val="00DA1087"/>
    <w:rsid w:val="00DB3C75"/>
    <w:rsid w:val="00DF57EF"/>
    <w:rsid w:val="00E02C10"/>
    <w:rsid w:val="00E16DF1"/>
    <w:rsid w:val="00E26CA5"/>
    <w:rsid w:val="00E33091"/>
    <w:rsid w:val="00E33206"/>
    <w:rsid w:val="00E37F6D"/>
    <w:rsid w:val="00E50FC8"/>
    <w:rsid w:val="00E522E0"/>
    <w:rsid w:val="00E64264"/>
    <w:rsid w:val="00E667A9"/>
    <w:rsid w:val="00E749C6"/>
    <w:rsid w:val="00EA17EF"/>
    <w:rsid w:val="00EE22A2"/>
    <w:rsid w:val="00F0048E"/>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BA1A87"/>
    <w:rPr>
      <w:color w:val="0563C1" w:themeColor="hyperlink"/>
      <w:u w:val="single"/>
    </w:rPr>
  </w:style>
  <w:style w:type="paragraph" w:styleId="Odstavekseznama">
    <w:name w:val="List Paragraph"/>
    <w:basedOn w:val="Navaden"/>
    <w:uiPriority w:val="34"/>
    <w:qFormat/>
    <w:rsid w:val="00BA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1881</TotalTime>
  <Pages>8</Pages>
  <Words>3421</Words>
  <Characters>19501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Anka Medved</cp:lastModifiedBy>
  <cp:revision>11</cp:revision>
  <cp:lastPrinted>2021-03-16T09:39:00Z</cp:lastPrinted>
  <dcterms:created xsi:type="dcterms:W3CDTF">2021-03-12T07:50:00Z</dcterms:created>
  <dcterms:modified xsi:type="dcterms:W3CDTF">2021-05-07T06:29:00Z</dcterms:modified>
  <cp:category>Vzorec pogodbe GD</cp:category>
</cp:coreProperties>
</file>